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3DA39C8" w:rsidR="00D6147A" w:rsidRDefault="00CB100E" w:rsidP="00CB100E">
      <w:hyperlink r:id="rId6" w:history="1">
        <w:r w:rsidRPr="00AB1840">
          <w:rPr>
            <w:rStyle w:val="Collegamentoipertestuale"/>
          </w:rPr>
          <w:t>https://www.ilsole24ore.com/art/panetta-il-risiko-riduce-gap-dimensionale-banche-italiane-ed-europee-AGSyq1uC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464E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00E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panetta-il-risiko-riduce-gap-dimensionale-banche-italiane-ed-europee-AGSyq1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2025-02-18T08:19:00Z</dcterms:created>
  <dcterms:modified xsi:type="dcterms:W3CDTF">2025-02-18T08:25:00Z</dcterms:modified>
</cp:coreProperties>
</file>